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F4" w:rsidRPr="00EA27FE" w:rsidRDefault="001E57F4" w:rsidP="001E57F4">
      <w:pPr>
        <w:spacing w:before="100" w:beforeAutospacing="1" w:after="100" w:afterAutospacing="1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942975" cy="942975"/>
            <wp:effectExtent l="0" t="0" r="9525" b="9525"/>
            <wp:docPr id="1" name="Imagen 1" descr="logo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F4" w:rsidRPr="00EA27FE" w:rsidRDefault="001E57F4" w:rsidP="001E57F4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 w:rsidRPr="00EA27FE">
        <w:rPr>
          <w:rFonts w:ascii="Arial" w:hAnsi="Arial" w:cs="Arial"/>
        </w:rPr>
        <w:t xml:space="preserve">Mérida, Yucatán a </w:t>
      </w:r>
      <w:r w:rsidR="0068613B">
        <w:rPr>
          <w:rFonts w:ascii="Arial" w:hAnsi="Arial" w:cs="Arial"/>
        </w:rPr>
        <w:t xml:space="preserve"> 27</w:t>
      </w:r>
      <w:r w:rsidRPr="00EA27FE">
        <w:rPr>
          <w:rFonts w:ascii="Arial" w:hAnsi="Arial" w:cs="Arial"/>
        </w:rPr>
        <w:t xml:space="preserve"> de noviembre de 2019.</w:t>
      </w:r>
    </w:p>
    <w:p w:rsidR="001E57F4" w:rsidRPr="00EA27FE" w:rsidRDefault="001E57F4" w:rsidP="001E57F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EA27FE">
        <w:rPr>
          <w:rFonts w:ascii="Arial" w:hAnsi="Arial" w:cs="Arial"/>
          <w:b/>
        </w:rPr>
        <w:t>H. CONGRESO DEL ESTADO DE YUCATÁN</w:t>
      </w:r>
    </w:p>
    <w:p w:rsidR="001E57F4" w:rsidRPr="00EA27FE" w:rsidRDefault="001E57F4" w:rsidP="001E57F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EA27FE">
        <w:rPr>
          <w:rFonts w:ascii="Arial" w:hAnsi="Arial" w:cs="Arial"/>
          <w:b/>
        </w:rPr>
        <w:t xml:space="preserve">P R E S E N T E </w:t>
      </w:r>
    </w:p>
    <w:p w:rsidR="001E57F4" w:rsidRPr="0068613B" w:rsidRDefault="001E57F4" w:rsidP="0068613B">
      <w:pPr>
        <w:spacing w:after="0" w:line="360" w:lineRule="auto"/>
        <w:jc w:val="both"/>
        <w:rPr>
          <w:rFonts w:ascii="Arial" w:hAnsi="Arial" w:cs="Arial"/>
          <w:bCs/>
        </w:rPr>
      </w:pPr>
      <w:r w:rsidRPr="00EA27FE">
        <w:rPr>
          <w:rFonts w:ascii="Arial" w:hAnsi="Arial" w:cs="Arial"/>
          <w:b/>
        </w:rPr>
        <w:t>MIGUEL ESTEBAN RODRÍGUEZ BAQUEIRO</w:t>
      </w:r>
      <w:r w:rsidRPr="00EA27FE">
        <w:rPr>
          <w:rFonts w:ascii="Arial" w:hAnsi="Arial" w:cs="Arial"/>
        </w:rPr>
        <w:t>, integrante de la LXII Legislatura del H. Congreso del Estado, con fundamento en la fracción I del artículo 35 de la Constitución Política del Estado de Yucatán; artículos 16 y 22 fracción VI de  la Ley de Gobierno del Poder Legislativo, así como los artículos 68 y 69 del Reglamento de la Ley del Poder Legislativo, todos del Estado de Yucatán, me permito someter a consideración de esta Honorable Asamblea la presente</w:t>
      </w:r>
      <w:r w:rsidR="0068613B">
        <w:rPr>
          <w:rFonts w:ascii="Arial" w:hAnsi="Arial" w:cs="Arial"/>
        </w:rPr>
        <w:t xml:space="preserve"> </w:t>
      </w:r>
      <w:r w:rsidR="0068613B" w:rsidRPr="0068613B">
        <w:rPr>
          <w:rFonts w:ascii="Arial" w:hAnsi="Arial" w:cs="Arial"/>
          <w:b/>
        </w:rPr>
        <w:t>INICIATIVA CON PROYECTO DE</w:t>
      </w:r>
      <w:r w:rsidRPr="00EA27FE">
        <w:rPr>
          <w:rFonts w:ascii="Arial" w:hAnsi="Arial" w:cs="Arial"/>
        </w:rPr>
        <w:t xml:space="preserve"> </w:t>
      </w:r>
      <w:r w:rsidR="0068613B">
        <w:rPr>
          <w:rFonts w:ascii="Arial" w:hAnsi="Arial" w:cs="Arial"/>
          <w:b/>
          <w:bCs/>
        </w:rPr>
        <w:t xml:space="preserve">DECRETO POR EL QUE SE ADICIONAN LOS </w:t>
      </w:r>
      <w:r w:rsidR="0068613B" w:rsidRPr="005E7138">
        <w:rPr>
          <w:rFonts w:ascii="Arial" w:hAnsi="Arial" w:cs="Arial"/>
          <w:b/>
          <w:bCs/>
        </w:rPr>
        <w:t>ARTICULOS 86 BIS Y 86 TER A LA LEY DE GOBIERNO DE LOS MUNICIPIOS DEL ESTADO DE YUCATÀN Y SE ADICIONA LA FRACCIÓN XXXVIII AL ARTICULO 14 DE LA LEY DE FISCALIZACIÒN DE LA CUENTA</w:t>
      </w:r>
      <w:r w:rsidR="0068613B">
        <w:rPr>
          <w:rFonts w:ascii="Arial" w:hAnsi="Arial" w:cs="Arial"/>
          <w:b/>
          <w:bCs/>
        </w:rPr>
        <w:t xml:space="preserve"> PÙBLICA DEL ESTADO DE YUCATÀN </w:t>
      </w:r>
      <w:r w:rsidR="0068613B" w:rsidRPr="005E7138">
        <w:rPr>
          <w:rFonts w:ascii="Arial" w:hAnsi="Arial" w:cs="Arial"/>
          <w:b/>
          <w:bCs/>
        </w:rPr>
        <w:t xml:space="preserve"> </w:t>
      </w:r>
      <w:r w:rsidR="0068613B">
        <w:rPr>
          <w:rFonts w:ascii="Arial" w:hAnsi="Arial" w:cs="Arial"/>
          <w:bCs/>
        </w:rPr>
        <w:t>con base a la siguiente:</w:t>
      </w:r>
    </w:p>
    <w:p w:rsidR="001E57F4" w:rsidRPr="00EA27FE" w:rsidRDefault="001E57F4" w:rsidP="001E57F4">
      <w:pPr>
        <w:spacing w:before="100" w:beforeAutospacing="1" w:after="100" w:afterAutospacing="1" w:line="240" w:lineRule="auto"/>
        <w:ind w:firstLine="708"/>
        <w:jc w:val="center"/>
        <w:rPr>
          <w:rFonts w:ascii="Arial" w:hAnsi="Arial" w:cs="Arial"/>
          <w:b/>
          <w:bCs/>
        </w:rPr>
      </w:pPr>
      <w:r w:rsidRPr="00EA27FE">
        <w:rPr>
          <w:rFonts w:ascii="Arial" w:hAnsi="Arial" w:cs="Arial"/>
          <w:b/>
          <w:bCs/>
        </w:rPr>
        <w:t xml:space="preserve">E X P O S I C I Ó N   D E   M O T I V O S </w:t>
      </w:r>
    </w:p>
    <w:p w:rsidR="00334EF1" w:rsidRPr="00EA27FE" w:rsidRDefault="001E57F4" w:rsidP="007C2F4E">
      <w:pPr>
        <w:spacing w:line="360" w:lineRule="auto"/>
        <w:jc w:val="both"/>
        <w:rPr>
          <w:rFonts w:ascii="Arial" w:hAnsi="Arial" w:cs="Arial"/>
          <w:bCs/>
        </w:rPr>
      </w:pPr>
      <w:r w:rsidRPr="00EA27FE">
        <w:rPr>
          <w:rFonts w:ascii="Arial" w:hAnsi="Arial" w:cs="Arial"/>
          <w:bCs/>
        </w:rPr>
        <w:t xml:space="preserve">El control de la administración pública y la responsabilidad administrativa estatal y municipal </w:t>
      </w:r>
      <w:r w:rsidR="00334EF1" w:rsidRPr="00EA27FE">
        <w:rPr>
          <w:rFonts w:ascii="Arial" w:hAnsi="Arial" w:cs="Arial"/>
          <w:bCs/>
        </w:rPr>
        <w:t>constituye un tema fundamental en todos los actos de la vida pública, por lo que el manejo de la misma tiene que ser encabezado por quien tenga capacidad y esté relacionado íntimamente con el conocimie</w:t>
      </w:r>
      <w:r w:rsidR="007C2F4E" w:rsidRPr="00EA27FE">
        <w:rPr>
          <w:rFonts w:ascii="Arial" w:hAnsi="Arial" w:cs="Arial"/>
          <w:bCs/>
        </w:rPr>
        <w:t>nto de la administración, específicamente pública</w:t>
      </w:r>
      <w:r w:rsidR="00334EF1" w:rsidRPr="00EA27FE">
        <w:rPr>
          <w:rFonts w:ascii="Arial" w:hAnsi="Arial" w:cs="Arial"/>
          <w:bCs/>
        </w:rPr>
        <w:t>, así como sus funciones y finalidad</w:t>
      </w:r>
      <w:r w:rsidR="0004121A" w:rsidRPr="00EA27FE">
        <w:rPr>
          <w:rFonts w:ascii="Arial" w:hAnsi="Arial" w:cs="Arial"/>
          <w:bCs/>
        </w:rPr>
        <w:t>es</w:t>
      </w:r>
      <w:r w:rsidR="00334EF1" w:rsidRPr="00EA27FE">
        <w:rPr>
          <w:rFonts w:ascii="Arial" w:hAnsi="Arial" w:cs="Arial"/>
          <w:bCs/>
        </w:rPr>
        <w:t>.</w:t>
      </w:r>
    </w:p>
    <w:p w:rsidR="001E57F4" w:rsidRPr="00EA27FE" w:rsidRDefault="0004121A" w:rsidP="007C2F4E">
      <w:pPr>
        <w:spacing w:line="360" w:lineRule="auto"/>
        <w:jc w:val="both"/>
        <w:rPr>
          <w:rFonts w:ascii="Arial" w:hAnsi="Arial" w:cs="Arial"/>
          <w:bCs/>
        </w:rPr>
      </w:pPr>
      <w:r w:rsidRPr="00EA27FE">
        <w:rPr>
          <w:rFonts w:ascii="Arial" w:hAnsi="Arial" w:cs="Arial"/>
          <w:bCs/>
        </w:rPr>
        <w:t>La realidad muestra que e</w:t>
      </w:r>
      <w:r w:rsidR="007C2F4E" w:rsidRPr="00EA27FE">
        <w:rPr>
          <w:rFonts w:ascii="Arial" w:hAnsi="Arial" w:cs="Arial"/>
          <w:bCs/>
        </w:rPr>
        <w:t>s una cuestión</w:t>
      </w:r>
      <w:r w:rsidR="001E57F4" w:rsidRPr="00EA27FE">
        <w:rPr>
          <w:rFonts w:ascii="Arial" w:hAnsi="Arial" w:cs="Arial"/>
          <w:bCs/>
        </w:rPr>
        <w:t xml:space="preserve"> </w:t>
      </w:r>
      <w:r w:rsidR="00334EF1" w:rsidRPr="00EA27FE">
        <w:rPr>
          <w:rFonts w:ascii="Arial" w:hAnsi="Arial" w:cs="Arial"/>
          <w:bCs/>
        </w:rPr>
        <w:t>que consiste</w:t>
      </w:r>
      <w:r w:rsidR="001E57F4" w:rsidRPr="00EA27FE">
        <w:rPr>
          <w:rFonts w:ascii="Arial" w:hAnsi="Arial" w:cs="Arial"/>
          <w:bCs/>
        </w:rPr>
        <w:t xml:space="preserve"> sustancialmente </w:t>
      </w:r>
      <w:r w:rsidRPr="00EA27FE">
        <w:rPr>
          <w:rFonts w:ascii="Arial" w:hAnsi="Arial" w:cs="Arial"/>
          <w:bCs/>
        </w:rPr>
        <w:t xml:space="preserve">en </w:t>
      </w:r>
      <w:r w:rsidR="001E57F4" w:rsidRPr="00EA27FE">
        <w:rPr>
          <w:rFonts w:ascii="Arial" w:hAnsi="Arial" w:cs="Arial"/>
          <w:bCs/>
        </w:rPr>
        <w:t xml:space="preserve">abusos de poder y consecuentemente lesiones a los valores esenciales y fundamentales del Estado, así como también derechos individuales y colectivos. </w:t>
      </w:r>
      <w:r w:rsidRPr="00EA27FE">
        <w:rPr>
          <w:rFonts w:ascii="Arial" w:hAnsi="Arial" w:cs="Arial"/>
          <w:bCs/>
        </w:rPr>
        <w:t>Todo l</w:t>
      </w:r>
      <w:r w:rsidR="00297D1B" w:rsidRPr="00EA27FE">
        <w:rPr>
          <w:rFonts w:ascii="Arial" w:hAnsi="Arial" w:cs="Arial"/>
          <w:bCs/>
        </w:rPr>
        <w:t xml:space="preserve">o anterior </w:t>
      </w:r>
      <w:r w:rsidRPr="00EA27FE">
        <w:rPr>
          <w:rFonts w:ascii="Arial" w:hAnsi="Arial" w:cs="Arial"/>
          <w:bCs/>
        </w:rPr>
        <w:t>es el resultado de encomendar a personas sin profesionalismo</w:t>
      </w:r>
      <w:r w:rsidR="007C2F4E" w:rsidRPr="00EA27FE">
        <w:rPr>
          <w:rFonts w:ascii="Arial" w:hAnsi="Arial" w:cs="Arial"/>
          <w:bCs/>
        </w:rPr>
        <w:t xml:space="preserve"> a un cargo crucial</w:t>
      </w:r>
      <w:r w:rsidRPr="00EA27FE">
        <w:rPr>
          <w:rFonts w:ascii="Arial" w:hAnsi="Arial" w:cs="Arial"/>
          <w:bCs/>
        </w:rPr>
        <w:t xml:space="preserve"> relacionado con el ejercicio de la función pública. </w:t>
      </w:r>
    </w:p>
    <w:p w:rsidR="00297D1B" w:rsidRPr="00EA27FE" w:rsidRDefault="00297D1B" w:rsidP="007C2F4E">
      <w:pPr>
        <w:spacing w:line="360" w:lineRule="auto"/>
        <w:jc w:val="both"/>
        <w:rPr>
          <w:rFonts w:ascii="Arial" w:hAnsi="Arial" w:cs="Arial"/>
          <w:bCs/>
        </w:rPr>
      </w:pPr>
      <w:r w:rsidRPr="00EA27FE">
        <w:rPr>
          <w:rFonts w:ascii="Arial" w:hAnsi="Arial" w:cs="Arial"/>
          <w:bCs/>
        </w:rPr>
        <w:lastRenderedPageBreak/>
        <w:t xml:space="preserve">Por ello, es </w:t>
      </w:r>
      <w:r w:rsidR="007C2F4E" w:rsidRPr="00EA27FE">
        <w:rPr>
          <w:rFonts w:ascii="Arial" w:hAnsi="Arial" w:cs="Arial"/>
          <w:bCs/>
        </w:rPr>
        <w:t>necesaria</w:t>
      </w:r>
      <w:r w:rsidRPr="00EA27FE">
        <w:rPr>
          <w:rFonts w:ascii="Arial" w:hAnsi="Arial" w:cs="Arial"/>
          <w:bCs/>
        </w:rPr>
        <w:t xml:space="preserve"> </w:t>
      </w:r>
      <w:r w:rsidR="00253D99" w:rsidRPr="00EA27FE">
        <w:rPr>
          <w:rFonts w:ascii="Arial" w:hAnsi="Arial" w:cs="Arial"/>
          <w:bCs/>
        </w:rPr>
        <w:t>la existencia de mecanismos de control de esta actividad, que garantice la observancia de la legalidad</w:t>
      </w:r>
      <w:r w:rsidR="00B169F7" w:rsidRPr="00EA27FE">
        <w:rPr>
          <w:rFonts w:ascii="Arial" w:hAnsi="Arial" w:cs="Arial"/>
          <w:bCs/>
        </w:rPr>
        <w:t>, así como</w:t>
      </w:r>
      <w:r w:rsidR="00253D99" w:rsidRPr="00EA27FE">
        <w:rPr>
          <w:rFonts w:ascii="Arial" w:hAnsi="Arial" w:cs="Arial"/>
          <w:bCs/>
        </w:rPr>
        <w:t xml:space="preserve"> </w:t>
      </w:r>
      <w:r w:rsidRPr="00EA27FE">
        <w:rPr>
          <w:rFonts w:ascii="Arial" w:hAnsi="Arial" w:cs="Arial"/>
          <w:bCs/>
        </w:rPr>
        <w:t xml:space="preserve">mantener una </w:t>
      </w:r>
      <w:r w:rsidR="00B169F7" w:rsidRPr="00EA27FE">
        <w:rPr>
          <w:rFonts w:ascii="Arial" w:hAnsi="Arial" w:cs="Arial"/>
          <w:bCs/>
        </w:rPr>
        <w:t>estructura financiera sana e</w:t>
      </w:r>
      <w:r w:rsidRPr="00EA27FE">
        <w:rPr>
          <w:rFonts w:ascii="Arial" w:hAnsi="Arial" w:cs="Arial"/>
          <w:bCs/>
        </w:rPr>
        <w:t xml:space="preserve"> incr</w:t>
      </w:r>
      <w:r w:rsidR="00B169F7" w:rsidRPr="00EA27FE">
        <w:rPr>
          <w:rFonts w:ascii="Arial" w:hAnsi="Arial" w:cs="Arial"/>
          <w:bCs/>
        </w:rPr>
        <w:t xml:space="preserve">ementar un rendimiento efectivo en general. </w:t>
      </w:r>
    </w:p>
    <w:p w:rsidR="00297D1B" w:rsidRPr="00EA27FE" w:rsidRDefault="00C32E52" w:rsidP="007C2F4E">
      <w:pPr>
        <w:spacing w:line="360" w:lineRule="auto"/>
        <w:jc w:val="both"/>
        <w:rPr>
          <w:rFonts w:ascii="Arial" w:hAnsi="Arial" w:cs="Arial"/>
          <w:bCs/>
        </w:rPr>
      </w:pPr>
      <w:r w:rsidRPr="00EA27FE">
        <w:rPr>
          <w:rFonts w:ascii="Arial" w:hAnsi="Arial" w:cs="Arial"/>
          <w:bCs/>
        </w:rPr>
        <w:t>El r</w:t>
      </w:r>
      <w:r w:rsidR="00297D1B" w:rsidRPr="00EA27FE">
        <w:rPr>
          <w:rFonts w:ascii="Arial" w:hAnsi="Arial" w:cs="Arial"/>
          <w:bCs/>
        </w:rPr>
        <w:t xml:space="preserve">equisito indispensable para la existencia y funcionamiento de una buena administración pública es que el servidor público o persona que esté a su cargo sea una persona capaz y con conocimiento profesional para </w:t>
      </w:r>
      <w:r w:rsidR="0004121A" w:rsidRPr="00EA27FE">
        <w:rPr>
          <w:rFonts w:ascii="Arial" w:hAnsi="Arial" w:cs="Arial"/>
          <w:bCs/>
        </w:rPr>
        <w:t xml:space="preserve">atender </w:t>
      </w:r>
      <w:r w:rsidR="00253D99" w:rsidRPr="00EA27FE">
        <w:rPr>
          <w:rFonts w:ascii="Arial" w:hAnsi="Arial" w:cs="Arial"/>
          <w:bCs/>
        </w:rPr>
        <w:t>los intereses públicos y no dedicados</w:t>
      </w:r>
      <w:r w:rsidR="0004121A" w:rsidRPr="00EA27FE">
        <w:rPr>
          <w:rFonts w:ascii="Arial" w:hAnsi="Arial" w:cs="Arial"/>
          <w:bCs/>
        </w:rPr>
        <w:t xml:space="preserve"> a colmar su interés particular. </w:t>
      </w:r>
    </w:p>
    <w:p w:rsidR="00C32E52" w:rsidRPr="00915A6C" w:rsidRDefault="00B169F7" w:rsidP="00915A6C">
      <w:pPr>
        <w:spacing w:line="360" w:lineRule="auto"/>
        <w:jc w:val="both"/>
        <w:rPr>
          <w:rFonts w:ascii="Arial" w:hAnsi="Arial" w:cs="Arial"/>
        </w:rPr>
      </w:pPr>
      <w:r w:rsidRPr="00EA27FE">
        <w:rPr>
          <w:rFonts w:ascii="Arial" w:hAnsi="Arial" w:cs="Arial"/>
        </w:rPr>
        <w:t xml:space="preserve">Si bien es cierto que la Constitución prevé el proceso de fiscalización, las funciones y requisitos que deberá tener la persona que tome el cargo de Auditor Superior del Estado, </w:t>
      </w:r>
      <w:r w:rsidR="00CF6AAB" w:rsidRPr="00EA27FE">
        <w:rPr>
          <w:rFonts w:ascii="Arial" w:hAnsi="Arial" w:cs="Arial"/>
        </w:rPr>
        <w:t>también es necesario mencionar</w:t>
      </w:r>
      <w:r w:rsidRPr="00EA27FE">
        <w:rPr>
          <w:rFonts w:ascii="Arial" w:hAnsi="Arial" w:cs="Arial"/>
        </w:rPr>
        <w:t xml:space="preserve"> </w:t>
      </w:r>
      <w:r w:rsidR="00CF6AAB" w:rsidRPr="00EA27FE">
        <w:rPr>
          <w:rFonts w:ascii="Arial" w:hAnsi="Arial" w:cs="Arial"/>
        </w:rPr>
        <w:t xml:space="preserve">ciertos </w:t>
      </w:r>
      <w:r w:rsidRPr="00EA27FE">
        <w:rPr>
          <w:rFonts w:ascii="Arial" w:hAnsi="Arial" w:cs="Arial"/>
        </w:rPr>
        <w:t>requisito</w:t>
      </w:r>
      <w:r w:rsidR="00CF6AAB" w:rsidRPr="00EA27FE">
        <w:rPr>
          <w:rFonts w:ascii="Arial" w:hAnsi="Arial" w:cs="Arial"/>
        </w:rPr>
        <w:t>s</w:t>
      </w:r>
      <w:r w:rsidRPr="00EA27FE">
        <w:rPr>
          <w:rFonts w:ascii="Arial" w:hAnsi="Arial" w:cs="Arial"/>
        </w:rPr>
        <w:t xml:space="preserve"> para</w:t>
      </w:r>
      <w:r w:rsidR="009437B7" w:rsidRPr="00EA27FE">
        <w:rPr>
          <w:rFonts w:ascii="Arial" w:hAnsi="Arial" w:cs="Arial"/>
        </w:rPr>
        <w:t xml:space="preserve"> las personas que ejerzan dicho procedimiento, comprendiendo así la contabilidad, finanzas y tesorería de la administración estatal y municipal. </w:t>
      </w:r>
    </w:p>
    <w:p w:rsidR="007C2F4E" w:rsidRPr="00EA27FE" w:rsidRDefault="00C32E52" w:rsidP="007C2F4E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EA27FE">
        <w:rPr>
          <w:rFonts w:ascii="Arial" w:eastAsia="Times New Roman" w:hAnsi="Arial" w:cs="Arial"/>
          <w:bCs/>
          <w:lang w:eastAsia="es-MX"/>
        </w:rPr>
        <w:t>Es menester señalar que l</w:t>
      </w:r>
      <w:r w:rsidR="00D94078" w:rsidRPr="00EA27FE">
        <w:rPr>
          <w:rFonts w:ascii="Arial" w:eastAsia="Times New Roman" w:hAnsi="Arial" w:cs="Arial"/>
          <w:bCs/>
          <w:lang w:eastAsia="es-MX"/>
        </w:rPr>
        <w:t>a C</w:t>
      </w:r>
      <w:r w:rsidRPr="00EA27FE">
        <w:rPr>
          <w:rFonts w:ascii="Arial" w:eastAsia="Times New Roman" w:hAnsi="Arial" w:cs="Arial"/>
          <w:bCs/>
          <w:lang w:eastAsia="es-MX"/>
        </w:rPr>
        <w:t xml:space="preserve">ontralora General Lizbeth Basto Avilés presentó en enero del año corriente, ante la </w:t>
      </w:r>
      <w:proofErr w:type="spellStart"/>
      <w:r w:rsidRPr="00EA27FE">
        <w:rPr>
          <w:rFonts w:ascii="Arial" w:eastAsia="Times New Roman" w:hAnsi="Arial" w:cs="Arial"/>
          <w:bCs/>
          <w:lang w:eastAsia="es-MX"/>
        </w:rPr>
        <w:t>Vicefiscalía</w:t>
      </w:r>
      <w:proofErr w:type="spellEnd"/>
      <w:r w:rsidRPr="00EA27FE">
        <w:rPr>
          <w:rFonts w:ascii="Arial" w:eastAsia="Times New Roman" w:hAnsi="Arial" w:cs="Arial"/>
          <w:bCs/>
          <w:lang w:eastAsia="es-MX"/>
        </w:rPr>
        <w:t xml:space="preserve"> Especializada en Combate a la Corrupción y la Auditoría Superior del Estado de Yucatán (</w:t>
      </w:r>
      <w:proofErr w:type="spellStart"/>
      <w:r w:rsidRPr="00EA27FE">
        <w:rPr>
          <w:rFonts w:ascii="Arial" w:eastAsia="Times New Roman" w:hAnsi="Arial" w:cs="Arial"/>
          <w:bCs/>
          <w:lang w:eastAsia="es-MX"/>
        </w:rPr>
        <w:t>Asey</w:t>
      </w:r>
      <w:proofErr w:type="spellEnd"/>
      <w:r w:rsidRPr="00EA27FE">
        <w:rPr>
          <w:rFonts w:ascii="Arial" w:eastAsia="Times New Roman" w:hAnsi="Arial" w:cs="Arial"/>
          <w:bCs/>
          <w:lang w:eastAsia="es-MX"/>
        </w:rPr>
        <w:t>) 31 denuncias por presuntas irregularidades financieras cometidas por autoridades de la pasada administración, las cuales fueron detectadas en el proceso de entrega-recepción gubernamental.</w:t>
      </w:r>
      <w:r w:rsidR="00D94078" w:rsidRPr="00EA27FE">
        <w:rPr>
          <w:rFonts w:ascii="Arial" w:eastAsia="Times New Roman" w:hAnsi="Arial" w:cs="Arial"/>
          <w:bCs/>
          <w:lang w:eastAsia="es-MX"/>
        </w:rPr>
        <w:t xml:space="preserve"> </w:t>
      </w:r>
      <w:r w:rsidR="00D94078" w:rsidRPr="00EA27FE">
        <w:rPr>
          <w:rFonts w:ascii="Arial" w:hAnsi="Arial" w:cs="Arial"/>
          <w:shd w:val="clear" w:color="auto" w:fill="FFFFFF"/>
        </w:rPr>
        <w:t>La mayoría se detectaron en las secretarías de Salud (SSY), Educación (</w:t>
      </w:r>
      <w:proofErr w:type="spellStart"/>
      <w:r w:rsidR="00D94078" w:rsidRPr="00EA27FE">
        <w:rPr>
          <w:rFonts w:ascii="Arial" w:hAnsi="Arial" w:cs="Arial"/>
          <w:shd w:val="clear" w:color="auto" w:fill="FFFFFF"/>
        </w:rPr>
        <w:t>Segey</w:t>
      </w:r>
      <w:proofErr w:type="spellEnd"/>
      <w:r w:rsidR="00D94078" w:rsidRPr="00EA27FE">
        <w:rPr>
          <w:rFonts w:ascii="Arial" w:hAnsi="Arial" w:cs="Arial"/>
          <w:shd w:val="clear" w:color="auto" w:fill="FFFFFF"/>
        </w:rPr>
        <w:t>) y de Administración y Fin</w:t>
      </w:r>
      <w:r w:rsidR="00632112">
        <w:rPr>
          <w:rFonts w:ascii="Arial" w:hAnsi="Arial" w:cs="Arial"/>
          <w:shd w:val="clear" w:color="auto" w:fill="FFFFFF"/>
        </w:rPr>
        <w:t>anzas (SAF) y se ha anunciado que</w:t>
      </w:r>
      <w:r w:rsidR="00D94078" w:rsidRPr="00EA27FE">
        <w:rPr>
          <w:rFonts w:ascii="Arial" w:hAnsi="Arial" w:cs="Arial"/>
          <w:shd w:val="clear" w:color="auto" w:fill="FFFFFF"/>
        </w:rPr>
        <w:t xml:space="preserve"> se interpondría el primer paquete de denuncias de las irregularidades encontradas y documentadas hasta ahora en el proceso de revisión, que no ha concluido.</w:t>
      </w:r>
    </w:p>
    <w:p w:rsidR="00B94BF8" w:rsidRPr="00EA27FE" w:rsidRDefault="00B94BF8" w:rsidP="007C2F4E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  <w:r w:rsidRPr="00EA27FE">
        <w:rPr>
          <w:rFonts w:ascii="Arial" w:hAnsi="Arial" w:cs="Arial"/>
        </w:rPr>
        <w:t>Ahora bien, respecto a la Ley de Gobierno de los Municipios del Estado de Yucatán, es importante añadir como requisito para el cargo de Tesorero respecto de las Autoridades Fiscales y</w:t>
      </w:r>
      <w:r w:rsidR="00EA27FE" w:rsidRPr="00EA27FE">
        <w:rPr>
          <w:rFonts w:ascii="Arial" w:hAnsi="Arial" w:cs="Arial"/>
        </w:rPr>
        <w:t xml:space="preserve"> Hacendarias, la licenciatura de</w:t>
      </w:r>
      <w:r w:rsidRPr="00EA27FE">
        <w:rPr>
          <w:rFonts w:ascii="Arial" w:hAnsi="Arial" w:cs="Arial"/>
        </w:rPr>
        <w:t xml:space="preserve"> Contador Público o de igual manera ser auxiliado por un Despacho Contable o Contador Público ya que es de suma importancia que el encargado de estas funciones, tenga conocimiento profesional para el adecuado manejo de recursos públicos estatales y municipales y no incurrir en ningún tipo de erro</w:t>
      </w:r>
      <w:r w:rsidR="00EA27FE" w:rsidRPr="00EA27FE">
        <w:rPr>
          <w:rFonts w:ascii="Arial" w:hAnsi="Arial" w:cs="Arial"/>
        </w:rPr>
        <w:t>res  en</w:t>
      </w:r>
      <w:r w:rsidRPr="00EA27FE">
        <w:rPr>
          <w:rFonts w:ascii="Arial" w:hAnsi="Arial" w:cs="Arial"/>
        </w:rPr>
        <w:t xml:space="preserve"> su actuar. Es la manera de prevenir y evitar el infortunio </w:t>
      </w:r>
      <w:r w:rsidR="007C2F4E" w:rsidRPr="00EA27FE">
        <w:rPr>
          <w:rFonts w:ascii="Arial" w:hAnsi="Arial" w:cs="Arial"/>
        </w:rPr>
        <w:t xml:space="preserve">cumplimiento en la administración fiscal del Estado. </w:t>
      </w:r>
    </w:p>
    <w:p w:rsidR="00EA27FE" w:rsidRDefault="00EA27FE" w:rsidP="007C2F4E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  <w:r w:rsidRPr="00EA27FE">
        <w:rPr>
          <w:rFonts w:ascii="Arial" w:hAnsi="Arial" w:cs="Arial"/>
        </w:rPr>
        <w:t xml:space="preserve">En el caso de las administraciones municipales es cierto que la responsabilidad del manejo de los recursos públicos recae en las figuras del  Presidente Municipal y en el </w:t>
      </w:r>
      <w:r w:rsidRPr="00EA27FE">
        <w:rPr>
          <w:rFonts w:ascii="Arial" w:hAnsi="Arial" w:cs="Arial"/>
        </w:rPr>
        <w:lastRenderedPageBreak/>
        <w:t>Tesorero, y es por ello que es de suma importancia que al menos el Tesorero cuente con los conocimientos necesarios en materia de finanzas y contabilidad para que las cuentas públicas que rinda al Cabildo sean de absoluta certeza.</w:t>
      </w:r>
    </w:p>
    <w:p w:rsidR="00042B3F" w:rsidRDefault="00042B3F" w:rsidP="007C2F4E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Ley de Gobierno de los Municipios y la Ley de Fiscalización de la Cuenta Pública ambas del Estado</w:t>
      </w:r>
      <w:r w:rsidR="0068613B">
        <w:rPr>
          <w:rFonts w:ascii="Arial" w:hAnsi="Arial" w:cs="Arial"/>
        </w:rPr>
        <w:t xml:space="preserve"> de Yucatán,</w:t>
      </w:r>
      <w:r>
        <w:rPr>
          <w:rFonts w:ascii="Arial" w:hAnsi="Arial" w:cs="Arial"/>
        </w:rPr>
        <w:t xml:space="preserve"> señalan de manera muy específica las atribuciones que le corresponden tanto al Tesorero como a la Auditoría Superior del Estado de Yucatán; la primera por su parte señala los requisitos necesarios para el cargo de Tesorería, y la segunda por su parte las atribuciones y los procesos que este Órgano Fiscalizador debe llevar a cabo en materia de auditorías. Por ello, con la finalidad de rendir una buena gestión económica financiera y para disminuir  el riesgo de que se produzcan irregularidades y malversaciones</w:t>
      </w:r>
      <w:r w:rsidR="006861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 fundamental establecer ciertos requisitos en los cargos estatales y municipales que tengan íntima relación en el manejo de recursos públicos para que en el momento procesal oportuno</w:t>
      </w:r>
      <w:r w:rsidR="006861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Ley finque las responsabilidades </w:t>
      </w:r>
      <w:r w:rsidR="0068613B">
        <w:rPr>
          <w:rFonts w:ascii="Arial" w:hAnsi="Arial" w:cs="Arial"/>
        </w:rPr>
        <w:t>administrativas  o en su caso penales, cometidas por algún Servidor Público.</w:t>
      </w:r>
    </w:p>
    <w:p w:rsidR="00632112" w:rsidRDefault="00632112" w:rsidP="007C2F4E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ello, es necesario que la Auditoría Superior del Estado de Yucatán tenga a su cargo el procedimiento de certificación de los Contadores Públicos o  Despachos Contables, conformando una lista a la que los Presidentes Municipales podrán recurrir, para tener la certeza de que el personal que coadyuve en sus labores cuente con la debida preparación  y el aval suficiente en el manejo de </w:t>
      </w:r>
      <w:r w:rsidR="00915A6C">
        <w:rPr>
          <w:rFonts w:ascii="Arial" w:hAnsi="Arial" w:cs="Arial"/>
        </w:rPr>
        <w:t>las finanzas públicas.</w:t>
      </w:r>
    </w:p>
    <w:p w:rsidR="00042B3F" w:rsidRDefault="0068613B" w:rsidP="00042B3F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Ciudadanía merece</w:t>
      </w:r>
      <w:r w:rsidR="00042B3F" w:rsidRPr="00EA27FE">
        <w:rPr>
          <w:rFonts w:ascii="Arial" w:hAnsi="Arial" w:cs="Arial"/>
        </w:rPr>
        <w:t xml:space="preserve"> la seguridad jurídica que</w:t>
      </w:r>
      <w:r>
        <w:rPr>
          <w:rFonts w:ascii="Arial" w:hAnsi="Arial" w:cs="Arial"/>
        </w:rPr>
        <w:t xml:space="preserve"> corresponde, </w:t>
      </w:r>
      <w:r w:rsidR="00042B3F" w:rsidRPr="00EA27FE">
        <w:rPr>
          <w:rFonts w:ascii="Arial" w:hAnsi="Arial" w:cs="Arial"/>
        </w:rPr>
        <w:t>en el mane</w:t>
      </w:r>
      <w:r>
        <w:rPr>
          <w:rFonts w:ascii="Arial" w:hAnsi="Arial" w:cs="Arial"/>
        </w:rPr>
        <w:t xml:space="preserve">jo responsable y profesional en </w:t>
      </w:r>
      <w:r w:rsidR="00042B3F" w:rsidRPr="00EA27FE">
        <w:rPr>
          <w:rFonts w:ascii="Arial" w:hAnsi="Arial" w:cs="Arial"/>
        </w:rPr>
        <w:t>la administración de las finanzas de competencia estatal y municipal, con total transparencia sobre el origen, uso y destino de los recursos públicos y cumplir en su caso con la responsabilidad que al efecto se finque por las Autoridades competentes sobre el presunto desfalco o malversación de los fondos del erario público.</w:t>
      </w:r>
    </w:p>
    <w:p w:rsidR="00915A6C" w:rsidRDefault="00915A6C" w:rsidP="00042B3F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</w:p>
    <w:p w:rsidR="00915A6C" w:rsidRDefault="00915A6C" w:rsidP="00042B3F">
      <w:pPr>
        <w:shd w:val="clear" w:color="auto" w:fill="FFFFFF"/>
        <w:spacing w:after="300" w:line="360" w:lineRule="auto"/>
        <w:jc w:val="both"/>
        <w:rPr>
          <w:rFonts w:ascii="Arial" w:hAnsi="Arial" w:cs="Arial"/>
        </w:rPr>
      </w:pPr>
    </w:p>
    <w:p w:rsidR="0068613B" w:rsidRDefault="0068613B" w:rsidP="0068613B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68613B">
        <w:rPr>
          <w:rFonts w:ascii="Arial" w:hAnsi="Arial" w:cs="Arial"/>
          <w:color w:val="000000"/>
        </w:rPr>
        <w:t xml:space="preserve">Por lo tanto </w:t>
      </w:r>
      <w:r w:rsidRPr="0068613B">
        <w:rPr>
          <w:rFonts w:ascii="Arial" w:hAnsi="Arial" w:cs="Arial"/>
          <w:bCs/>
        </w:rPr>
        <w:t xml:space="preserve">y de conformidad a lo anteriormente expuesto y fundado, me permito someter a la consideración de esta Honorable Soberanía la siguiente iniciativa de: </w:t>
      </w:r>
    </w:p>
    <w:p w:rsidR="0068613B" w:rsidRPr="005E7138" w:rsidRDefault="0068613B" w:rsidP="0068613B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DECRETO POR EL QUE SE ADICIONAN LOS </w:t>
      </w:r>
      <w:r w:rsidRPr="005E7138">
        <w:rPr>
          <w:rFonts w:ascii="Arial" w:hAnsi="Arial" w:cs="Arial"/>
          <w:b/>
          <w:bCs/>
        </w:rPr>
        <w:t xml:space="preserve">ARTICULOS 86 BIS Y 86 TER A LA LEY DE GOBIERNO DE LOS MUNICIPIOS DEL ESTADO DE YUCATÀN Y SE ADICIONA LA FRACCIÓN XXXVIII AL </w:t>
      </w:r>
      <w:r w:rsidR="0076462D" w:rsidRPr="005E7138">
        <w:rPr>
          <w:rFonts w:ascii="Arial" w:hAnsi="Arial" w:cs="Arial"/>
          <w:b/>
          <w:bCs/>
        </w:rPr>
        <w:t>ARTÍCULO</w:t>
      </w:r>
      <w:r w:rsidRPr="005E7138">
        <w:rPr>
          <w:rFonts w:ascii="Arial" w:hAnsi="Arial" w:cs="Arial"/>
          <w:b/>
          <w:bCs/>
        </w:rPr>
        <w:t xml:space="preserve"> 14 DE LA LEY DE FISCALIZACIÒN DE LA CUENTA</w:t>
      </w:r>
      <w:r>
        <w:rPr>
          <w:rFonts w:ascii="Arial" w:hAnsi="Arial" w:cs="Arial"/>
          <w:b/>
          <w:bCs/>
        </w:rPr>
        <w:t xml:space="preserve"> PÙBLICA DEL ESTADO DE YUCATÀN </w:t>
      </w:r>
      <w:r w:rsidRPr="005E7138">
        <w:rPr>
          <w:rFonts w:ascii="Arial" w:hAnsi="Arial" w:cs="Arial"/>
          <w:b/>
          <w:bCs/>
        </w:rPr>
        <w:t>PARA QUEDAR COMO SIGUE:</w:t>
      </w:r>
    </w:p>
    <w:p w:rsidR="0068613B" w:rsidRPr="005E7138" w:rsidRDefault="0068613B" w:rsidP="0068613B">
      <w:pPr>
        <w:spacing w:line="360" w:lineRule="auto"/>
        <w:jc w:val="both"/>
        <w:rPr>
          <w:rFonts w:ascii="Arial" w:hAnsi="Arial" w:cs="Arial"/>
          <w:b/>
        </w:rPr>
      </w:pPr>
    </w:p>
    <w:p w:rsidR="0068613B" w:rsidRPr="005E7138" w:rsidRDefault="0068613B" w:rsidP="006861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PRIMERO</w:t>
      </w:r>
      <w:r w:rsidRPr="005E7138">
        <w:rPr>
          <w:rFonts w:ascii="Arial" w:hAnsi="Arial" w:cs="Arial"/>
          <w:b/>
        </w:rPr>
        <w:t xml:space="preserve">.- </w:t>
      </w:r>
      <w:r w:rsidRPr="005E7138">
        <w:rPr>
          <w:rFonts w:ascii="Arial" w:hAnsi="Arial" w:cs="Arial"/>
        </w:rPr>
        <w:t>Se adicionan los artículos 86 bis y 86 ter a la Ley de Gobierno de los municipios del Estado de Yucatán para quedar como sigue:</w:t>
      </w:r>
    </w:p>
    <w:p w:rsidR="0068613B" w:rsidRPr="005E7138" w:rsidRDefault="0068613B" w:rsidP="0068613B">
      <w:pPr>
        <w:jc w:val="both"/>
        <w:rPr>
          <w:rFonts w:ascii="Arial" w:hAnsi="Arial" w:cs="Arial"/>
          <w:b/>
        </w:rPr>
      </w:pPr>
      <w:r w:rsidRPr="005E7138">
        <w:rPr>
          <w:rFonts w:ascii="Arial" w:hAnsi="Arial" w:cs="Arial"/>
          <w:b/>
        </w:rPr>
        <w:t>Artículo 86 bis.- Además de los requisitos señalados en el artículo anterior el Teso</w:t>
      </w:r>
      <w:r>
        <w:rPr>
          <w:rFonts w:ascii="Arial" w:hAnsi="Arial" w:cs="Arial"/>
          <w:b/>
        </w:rPr>
        <w:t>rero será preferentemente Contador Público</w:t>
      </w:r>
      <w:r w:rsidRPr="005E7138">
        <w:rPr>
          <w:rFonts w:ascii="Arial" w:hAnsi="Arial" w:cs="Arial"/>
          <w:b/>
        </w:rPr>
        <w:t>. De no serlo, podrá auxi</w:t>
      </w:r>
      <w:r>
        <w:rPr>
          <w:rFonts w:ascii="Arial" w:hAnsi="Arial" w:cs="Arial"/>
          <w:b/>
        </w:rPr>
        <w:t>liarse en sus funciones a través de</w:t>
      </w:r>
      <w:r w:rsidRPr="005E7138">
        <w:rPr>
          <w:rFonts w:ascii="Arial" w:hAnsi="Arial" w:cs="Arial"/>
          <w:b/>
        </w:rPr>
        <w:t xml:space="preserve"> la contratación de un Despacho Contable o en su caso C</w:t>
      </w:r>
      <w:r>
        <w:rPr>
          <w:rFonts w:ascii="Arial" w:hAnsi="Arial" w:cs="Arial"/>
          <w:b/>
        </w:rPr>
        <w:t xml:space="preserve">ontador Público, </w:t>
      </w:r>
      <w:r w:rsidRPr="005E7138">
        <w:rPr>
          <w:rFonts w:ascii="Arial" w:hAnsi="Arial" w:cs="Arial"/>
          <w:b/>
        </w:rPr>
        <w:t>de la l</w:t>
      </w:r>
      <w:r>
        <w:rPr>
          <w:rFonts w:ascii="Arial" w:hAnsi="Arial" w:cs="Arial"/>
          <w:b/>
        </w:rPr>
        <w:t>ista</w:t>
      </w:r>
      <w:r w:rsidRPr="005E7138">
        <w:rPr>
          <w:rFonts w:ascii="Arial" w:hAnsi="Arial" w:cs="Arial"/>
          <w:b/>
        </w:rPr>
        <w:t xml:space="preserve"> que emita la Auditoría Superior del Estado de Yucatán, que coadyuvará en la contabilidad, las finanzas y la tesorería de la administración municipal; </w:t>
      </w:r>
      <w:r>
        <w:rPr>
          <w:rFonts w:ascii="Arial" w:hAnsi="Arial" w:cs="Arial"/>
          <w:b/>
        </w:rPr>
        <w:t>el contrato privado que al efecto se celebre, así como el</w:t>
      </w:r>
      <w:r w:rsidRPr="005E7138">
        <w:rPr>
          <w:rFonts w:ascii="Arial" w:hAnsi="Arial" w:cs="Arial"/>
          <w:b/>
        </w:rPr>
        <w:t xml:space="preserve"> nombramiento o remoción</w:t>
      </w:r>
      <w:r>
        <w:rPr>
          <w:rFonts w:ascii="Arial" w:hAnsi="Arial" w:cs="Arial"/>
          <w:b/>
        </w:rPr>
        <w:t xml:space="preserve"> del Contador Público o del Despacho Contable, </w:t>
      </w:r>
      <w:r w:rsidRPr="005E7138">
        <w:rPr>
          <w:rFonts w:ascii="Arial" w:hAnsi="Arial" w:cs="Arial"/>
          <w:b/>
        </w:rPr>
        <w:t>deberá ser aprobado</w:t>
      </w:r>
      <w:r>
        <w:rPr>
          <w:rFonts w:ascii="Arial" w:hAnsi="Arial" w:cs="Arial"/>
          <w:b/>
        </w:rPr>
        <w:t xml:space="preserve"> por mayoría del Cabildo a propuesta del Presidente Municipal. E</w:t>
      </w:r>
      <w:r w:rsidRPr="005E7138">
        <w:rPr>
          <w:rFonts w:ascii="Arial" w:hAnsi="Arial" w:cs="Arial"/>
          <w:b/>
        </w:rPr>
        <w:t>stos auxiliares de la Tesorería</w:t>
      </w:r>
      <w:r>
        <w:rPr>
          <w:rFonts w:ascii="Arial" w:hAnsi="Arial" w:cs="Arial"/>
          <w:b/>
        </w:rPr>
        <w:t xml:space="preserve"> serán</w:t>
      </w:r>
      <w:r w:rsidRPr="005E7138">
        <w:rPr>
          <w:rFonts w:ascii="Arial" w:hAnsi="Arial" w:cs="Arial"/>
          <w:b/>
        </w:rPr>
        <w:t xml:space="preserve"> responsables por los actos y omisiones que incurran en el desempeño de sus respectivas funciones, de acuerdo a la Constitución Política del Estado de Yucatán y a la Ley de Responsabilidades de los Servidores Públicos del Estado de Yucatán.</w:t>
      </w:r>
    </w:p>
    <w:p w:rsidR="0068613B" w:rsidRPr="0068613B" w:rsidRDefault="0068613B" w:rsidP="0068613B">
      <w:pPr>
        <w:jc w:val="both"/>
        <w:rPr>
          <w:rFonts w:ascii="Arial" w:hAnsi="Arial" w:cs="Arial"/>
          <w:b/>
        </w:rPr>
      </w:pPr>
      <w:r w:rsidRPr="005E7138">
        <w:rPr>
          <w:rFonts w:ascii="Arial" w:hAnsi="Arial" w:cs="Arial"/>
          <w:b/>
        </w:rPr>
        <w:t>Artículo 86 ter.- En caso de rescisión de los servicios que prestarán estos auxiliares de la Tesorería municipal, la cuenta pública y todos los demás documentos relativos a está, deberán permanecer resguardados en las instalaciones de la Tesorería municipal para no incur</w:t>
      </w:r>
      <w:r>
        <w:rPr>
          <w:rFonts w:ascii="Arial" w:hAnsi="Arial" w:cs="Arial"/>
          <w:b/>
        </w:rPr>
        <w:t>rir en el delito de ejercicio ilícito de servicio público estipulado en el Código Penal del Estado de Yucatán.</w:t>
      </w:r>
    </w:p>
    <w:p w:rsidR="0068613B" w:rsidRDefault="0068613B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915A6C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915A6C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915A6C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915A6C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915A6C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915A6C" w:rsidRPr="005E7138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68613B" w:rsidRDefault="0068613B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SEGUNDO</w:t>
      </w:r>
      <w:r w:rsidRPr="005E7138">
        <w:rPr>
          <w:rFonts w:ascii="Arial" w:hAnsi="Arial" w:cs="Arial"/>
          <w:b/>
        </w:rPr>
        <w:t xml:space="preserve">.- </w:t>
      </w:r>
      <w:r w:rsidRPr="005E7138">
        <w:rPr>
          <w:rFonts w:ascii="Arial" w:hAnsi="Arial" w:cs="Arial"/>
        </w:rPr>
        <w:t>Se adiciona la fracción XXXVIII al artículo 14 de la Ley de Fiscalización de la Cuenta Pública del Estado de Yucatán, para quedar como sigue:</w:t>
      </w:r>
    </w:p>
    <w:p w:rsidR="00915A6C" w:rsidRPr="005E7138" w:rsidRDefault="00915A6C" w:rsidP="0068613B">
      <w:pPr>
        <w:shd w:val="clear" w:color="auto" w:fill="FFFFFF"/>
        <w:spacing w:before="100" w:after="0" w:line="360" w:lineRule="auto"/>
        <w:ind w:right="616"/>
        <w:jc w:val="both"/>
        <w:rPr>
          <w:rFonts w:ascii="Arial" w:hAnsi="Arial" w:cs="Arial"/>
        </w:rPr>
      </w:pP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  <w:r w:rsidRPr="005E7138">
        <w:rPr>
          <w:b/>
          <w:bCs/>
          <w:sz w:val="22"/>
          <w:szCs w:val="22"/>
        </w:rPr>
        <w:lastRenderedPageBreak/>
        <w:t>Artículo 14.</w:t>
      </w:r>
      <w:r w:rsidRPr="005E7138">
        <w:rPr>
          <w:sz w:val="22"/>
          <w:szCs w:val="22"/>
        </w:rPr>
        <w:t xml:space="preserve"> La auditoría superior, para el cumplimiento de su objeto, tendrá las siguientes atribuciones: </w:t>
      </w: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  <w:r w:rsidRPr="005E7138">
        <w:rPr>
          <w:sz w:val="22"/>
          <w:szCs w:val="22"/>
        </w:rPr>
        <w:t>I.-…</w:t>
      </w: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  <w:r w:rsidRPr="005E7138">
        <w:rPr>
          <w:sz w:val="22"/>
          <w:szCs w:val="22"/>
        </w:rPr>
        <w:t>II.-…</w:t>
      </w: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  <w:r w:rsidRPr="005E7138">
        <w:rPr>
          <w:sz w:val="22"/>
          <w:szCs w:val="22"/>
        </w:rPr>
        <w:t>III.-…</w:t>
      </w:r>
    </w:p>
    <w:p w:rsidR="0068613B" w:rsidRPr="005E7138" w:rsidRDefault="0068613B" w:rsidP="0068613B">
      <w:pPr>
        <w:pStyle w:val="Default"/>
        <w:jc w:val="both"/>
        <w:rPr>
          <w:sz w:val="22"/>
          <w:szCs w:val="22"/>
        </w:rPr>
      </w:pPr>
    </w:p>
    <w:p w:rsidR="0068613B" w:rsidRPr="00915A6C" w:rsidRDefault="0068613B" w:rsidP="00915A6C">
      <w:pPr>
        <w:pStyle w:val="Default"/>
        <w:jc w:val="both"/>
        <w:rPr>
          <w:b/>
          <w:sz w:val="22"/>
          <w:szCs w:val="22"/>
        </w:rPr>
      </w:pPr>
      <w:r w:rsidRPr="005E7138">
        <w:rPr>
          <w:b/>
          <w:sz w:val="22"/>
          <w:szCs w:val="22"/>
        </w:rPr>
        <w:t>XXXVIII.-Emitir y certificar una lista de Contadores Públicos y de Despachos Contables, que deberán contar con la debid</w:t>
      </w:r>
      <w:r w:rsidR="00632112">
        <w:rPr>
          <w:b/>
          <w:sz w:val="22"/>
          <w:szCs w:val="22"/>
        </w:rPr>
        <w:t>a experiencia y preparación</w:t>
      </w:r>
      <w:r w:rsidRPr="005E7138">
        <w:rPr>
          <w:b/>
          <w:sz w:val="22"/>
          <w:szCs w:val="22"/>
        </w:rPr>
        <w:t xml:space="preserve"> en el manejo de recursos públicos estatales y municipales a efecto de coadyuvar en la contabilidad, finanzas y la tesorería de la administración estatal y municipal.</w:t>
      </w:r>
    </w:p>
    <w:p w:rsidR="0068613B" w:rsidRPr="005E7138" w:rsidRDefault="0068613B" w:rsidP="0068613B">
      <w:pPr>
        <w:spacing w:before="100" w:beforeAutospacing="1" w:after="100" w:afterAutospacing="1" w:line="360" w:lineRule="auto"/>
        <w:ind w:firstLine="708"/>
        <w:jc w:val="center"/>
        <w:rPr>
          <w:rFonts w:ascii="Arial" w:hAnsi="Arial" w:cs="Arial"/>
          <w:b/>
          <w:bCs/>
          <w:lang w:val="en-US"/>
        </w:rPr>
      </w:pPr>
      <w:r w:rsidRPr="005E7138">
        <w:rPr>
          <w:rFonts w:ascii="Arial" w:hAnsi="Arial" w:cs="Arial"/>
          <w:b/>
          <w:bCs/>
          <w:lang w:val="en-US"/>
        </w:rPr>
        <w:t>T R A N S I T O R I OS</w:t>
      </w:r>
    </w:p>
    <w:p w:rsidR="0068613B" w:rsidRPr="005E7138" w:rsidRDefault="0068613B" w:rsidP="0068613B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5E7138">
        <w:rPr>
          <w:rFonts w:ascii="Arial" w:hAnsi="Arial" w:cs="Arial"/>
          <w:b/>
          <w:bCs/>
        </w:rPr>
        <w:t>Artículo Primero.</w:t>
      </w:r>
      <w:r w:rsidRPr="005E7138">
        <w:rPr>
          <w:rFonts w:ascii="Arial" w:hAnsi="Arial" w:cs="Arial"/>
          <w:bCs/>
        </w:rPr>
        <w:t xml:space="preserve"> Este decreto entrará en vigor al día siguiente de su publicación en el Diario Oficial del Gobierno del Estado de Yucatán.</w:t>
      </w:r>
    </w:p>
    <w:p w:rsidR="0068613B" w:rsidRPr="005E7138" w:rsidRDefault="0068613B" w:rsidP="0068613B">
      <w:pPr>
        <w:spacing w:line="360" w:lineRule="auto"/>
        <w:jc w:val="both"/>
        <w:rPr>
          <w:rFonts w:ascii="Arial" w:hAnsi="Arial" w:cs="Arial"/>
        </w:rPr>
      </w:pPr>
      <w:r w:rsidRPr="005E7138">
        <w:rPr>
          <w:rFonts w:ascii="Arial" w:hAnsi="Arial" w:cs="Arial"/>
          <w:b/>
          <w:bCs/>
        </w:rPr>
        <w:t>Artículo Segundo</w:t>
      </w:r>
      <w:r w:rsidRPr="005E7138">
        <w:rPr>
          <w:rFonts w:ascii="Arial" w:hAnsi="Arial" w:cs="Arial"/>
          <w:bCs/>
        </w:rPr>
        <w:t xml:space="preserve">. </w:t>
      </w:r>
      <w:r w:rsidRPr="005E7138">
        <w:rPr>
          <w:rFonts w:ascii="Arial" w:hAnsi="Arial" w:cs="Arial"/>
        </w:rPr>
        <w:t>Se derogan las disposiciones de igual o menor jerarquía en lo que se opongan a lo establecido en este decreto.</w:t>
      </w:r>
    </w:p>
    <w:p w:rsidR="0068613B" w:rsidRPr="0068613B" w:rsidRDefault="0068613B" w:rsidP="0068613B">
      <w:pPr>
        <w:jc w:val="both"/>
        <w:rPr>
          <w:rFonts w:ascii="Arial" w:hAnsi="Arial" w:cs="Arial"/>
          <w:b/>
        </w:rPr>
      </w:pPr>
      <w:r w:rsidRPr="005E7138">
        <w:rPr>
          <w:rFonts w:ascii="Arial" w:hAnsi="Arial" w:cs="Arial"/>
          <w:b/>
        </w:rPr>
        <w:t>Artículo Tercero. La Auditoría Superior del Estado de Yucatán d</w:t>
      </w:r>
      <w:r>
        <w:rPr>
          <w:rFonts w:ascii="Arial" w:hAnsi="Arial" w:cs="Arial"/>
          <w:b/>
        </w:rPr>
        <w:t>eberá adecuar su normatividad para establecer el procedimiento de certificación de los Contadores Públicos y Despachos Contables</w:t>
      </w:r>
      <w:r w:rsidRPr="005E7138">
        <w:rPr>
          <w:rFonts w:ascii="Arial" w:hAnsi="Arial" w:cs="Arial"/>
          <w:b/>
        </w:rPr>
        <w:t xml:space="preserve"> en un plazo no mayor a 120 días naturales, contados a partir del día siguiente a la publicación del presente Decreto.</w:t>
      </w:r>
    </w:p>
    <w:p w:rsidR="0068613B" w:rsidRPr="0068613B" w:rsidRDefault="0068613B" w:rsidP="0068613B">
      <w:pPr>
        <w:spacing w:line="360" w:lineRule="auto"/>
        <w:jc w:val="both"/>
        <w:rPr>
          <w:rFonts w:ascii="Arial" w:hAnsi="Arial" w:cs="Arial"/>
          <w:b/>
        </w:rPr>
      </w:pPr>
      <w:r w:rsidRPr="0068613B">
        <w:rPr>
          <w:rFonts w:ascii="Arial" w:hAnsi="Arial" w:cs="Arial"/>
        </w:rPr>
        <w:t xml:space="preserve">Dado en la sede del Recinto del Poder Legislativo, en la ciudad de Mérida, Yucatán, Estados Unidos Mexicanos, a los </w:t>
      </w:r>
      <w:r>
        <w:rPr>
          <w:rFonts w:ascii="Arial" w:hAnsi="Arial" w:cs="Arial"/>
        </w:rPr>
        <w:t xml:space="preserve"> veintisiete</w:t>
      </w:r>
      <w:r w:rsidRPr="0068613B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noviembre</w:t>
      </w:r>
      <w:r w:rsidRPr="0068613B">
        <w:rPr>
          <w:rFonts w:ascii="Arial" w:hAnsi="Arial" w:cs="Arial"/>
        </w:rPr>
        <w:t xml:space="preserve"> de 2019.</w:t>
      </w:r>
      <w:r w:rsidRPr="0068613B">
        <w:rPr>
          <w:rFonts w:ascii="Arial" w:hAnsi="Arial" w:cs="Arial"/>
          <w:b/>
        </w:rPr>
        <w:t xml:space="preserve">     </w:t>
      </w:r>
    </w:p>
    <w:p w:rsidR="0068613B" w:rsidRPr="0068613B" w:rsidRDefault="0068613B" w:rsidP="0068613B">
      <w:pPr>
        <w:spacing w:line="360" w:lineRule="auto"/>
        <w:jc w:val="both"/>
        <w:rPr>
          <w:rFonts w:ascii="Arial" w:hAnsi="Arial" w:cs="Arial"/>
          <w:b/>
        </w:rPr>
      </w:pPr>
    </w:p>
    <w:p w:rsidR="0068613B" w:rsidRPr="0068613B" w:rsidRDefault="0068613B" w:rsidP="0068613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</w:rPr>
      </w:pPr>
      <w:r w:rsidRPr="0068613B">
        <w:rPr>
          <w:rFonts w:ascii="Arial" w:hAnsi="Arial" w:cs="Arial"/>
          <w:b/>
          <w:bCs/>
        </w:rPr>
        <w:t>A T E N T A M E N T 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68613B" w:rsidRPr="0068613B" w:rsidTr="000C798C">
        <w:tc>
          <w:tcPr>
            <w:tcW w:w="8828" w:type="dxa"/>
            <w:shd w:val="clear" w:color="auto" w:fill="auto"/>
          </w:tcPr>
          <w:p w:rsidR="0068613B" w:rsidRPr="0068613B" w:rsidRDefault="0068613B" w:rsidP="000C798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613B">
              <w:rPr>
                <w:rFonts w:ascii="Arial" w:hAnsi="Arial" w:cs="Arial"/>
                <w:b/>
                <w:bCs/>
              </w:rPr>
              <w:t>______________________________________</w:t>
            </w:r>
          </w:p>
        </w:tc>
      </w:tr>
      <w:tr w:rsidR="0068613B" w:rsidRPr="0068613B" w:rsidTr="000C798C">
        <w:trPr>
          <w:trHeight w:val="80"/>
        </w:trPr>
        <w:tc>
          <w:tcPr>
            <w:tcW w:w="8828" w:type="dxa"/>
            <w:shd w:val="clear" w:color="auto" w:fill="auto"/>
          </w:tcPr>
          <w:p w:rsidR="0068613B" w:rsidRPr="0068613B" w:rsidRDefault="0068613B" w:rsidP="000C798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613B">
              <w:rPr>
                <w:rFonts w:ascii="Arial" w:hAnsi="Arial" w:cs="Arial"/>
                <w:b/>
                <w:bCs/>
              </w:rPr>
              <w:t>DIP. MIGUEL ESTEBAN RODRÍGUEZ BAQUEIRO.</w:t>
            </w:r>
          </w:p>
        </w:tc>
      </w:tr>
    </w:tbl>
    <w:p w:rsidR="0068613B" w:rsidRPr="0068613B" w:rsidRDefault="0068613B" w:rsidP="0068613B">
      <w:pPr>
        <w:spacing w:line="360" w:lineRule="auto"/>
        <w:jc w:val="both"/>
        <w:rPr>
          <w:rFonts w:ascii="Arial" w:hAnsi="Arial" w:cs="Arial"/>
        </w:rPr>
      </w:pPr>
    </w:p>
    <w:p w:rsidR="0068613B" w:rsidRDefault="0068613B" w:rsidP="0068613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94078" w:rsidRPr="00EA27FE" w:rsidRDefault="00D94078" w:rsidP="0068613B">
      <w:pPr>
        <w:jc w:val="both"/>
        <w:rPr>
          <w:rFonts w:ascii="Arial" w:hAnsi="Arial" w:cs="Arial"/>
        </w:rPr>
      </w:pPr>
    </w:p>
    <w:sectPr w:rsidR="00D94078" w:rsidRPr="00EA2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4"/>
    <w:rsid w:val="0004121A"/>
    <w:rsid w:val="00042B3F"/>
    <w:rsid w:val="001C3CD5"/>
    <w:rsid w:val="001E57F4"/>
    <w:rsid w:val="00253D99"/>
    <w:rsid w:val="00297D1B"/>
    <w:rsid w:val="00334EF1"/>
    <w:rsid w:val="00632112"/>
    <w:rsid w:val="0068613B"/>
    <w:rsid w:val="0076462D"/>
    <w:rsid w:val="007C2F4E"/>
    <w:rsid w:val="00915A6C"/>
    <w:rsid w:val="009437B7"/>
    <w:rsid w:val="00AC2177"/>
    <w:rsid w:val="00B169F7"/>
    <w:rsid w:val="00B94BF8"/>
    <w:rsid w:val="00C32E52"/>
    <w:rsid w:val="00CF6AAB"/>
    <w:rsid w:val="00D94078"/>
    <w:rsid w:val="00E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2ABC2-92B8-4D36-89C5-E977D8D9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7F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2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686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 PAN20</dc:creator>
  <cp:lastModifiedBy>MOises.Rodriguez</cp:lastModifiedBy>
  <cp:revision>2</cp:revision>
  <cp:lastPrinted>2019-11-27T17:00:00Z</cp:lastPrinted>
  <dcterms:created xsi:type="dcterms:W3CDTF">2019-11-27T17:03:00Z</dcterms:created>
  <dcterms:modified xsi:type="dcterms:W3CDTF">2019-11-27T17:03:00Z</dcterms:modified>
</cp:coreProperties>
</file>